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b/>
          <w:bCs/>
        </w:rPr>
        <w:t>Ochranné rukavice pro uživatele ručních řetězových pil s ochranou proti pořezání na levé rukavici.</w:t>
      </w:r>
    </w:p>
    <w:p>
      <w:pPr>
        <w:pStyle w:val="Normal"/>
        <w:bidi w:val="0"/>
        <w:jc w:val="left"/>
        <w:rPr/>
      </w:pPr>
      <w:r>
        <w:rPr/>
      </w:r>
    </w:p>
    <w:p>
      <w:pPr>
        <w:pStyle w:val="Normal"/>
        <w:bidi w:val="0"/>
        <w:jc w:val="left"/>
        <w:rPr>
          <w:b/>
          <w:b/>
          <w:bCs/>
        </w:rPr>
      </w:pPr>
      <w:r>
        <w:rPr>
          <w:b/>
          <w:bCs/>
        </w:rPr>
        <w:t>Instrukce pro uživatele</w:t>
      </w:r>
    </w:p>
    <w:p>
      <w:pPr>
        <w:pStyle w:val="Normal"/>
        <w:bidi w:val="0"/>
        <w:jc w:val="left"/>
        <w:rPr/>
      </w:pPr>
      <w:r>
        <w:rPr/>
        <w:t>Dovozce: RAW-POL Stefanski spolka jawna, 96-200, Julianów, Polsko</w:t>
      </w:r>
    </w:p>
    <w:p>
      <w:pPr>
        <w:pStyle w:val="Normal"/>
        <w:bidi w:val="0"/>
        <w:jc w:val="left"/>
        <w:rPr/>
      </w:pPr>
      <w:r>
        <w:rPr/>
        <w:t>Dovozce do ČR: PRA-P-OR s.r.o., Orlovská 343, 713 00 Ostrava- Heřmanice</w:t>
      </w:r>
    </w:p>
    <w:p>
      <w:pPr>
        <w:pStyle w:val="Normal"/>
        <w:bidi w:val="0"/>
        <w:jc w:val="left"/>
        <w:rPr/>
      </w:pPr>
      <w:r>
        <w:rPr/>
        <w:t>Tento výrobek patří do kategorie Osobní ochranné prostředky (OOP), definované v nařízení Evropského parlamentu a Rady (EU) 2016/425, a splňuje pokyny uvedeného nařízení. Byl zařazen do kategorie III.</w:t>
      </w:r>
    </w:p>
    <w:p>
      <w:pPr>
        <w:pStyle w:val="Normal"/>
        <w:bidi w:val="0"/>
        <w:jc w:val="left"/>
        <w:rPr/>
      </w:pPr>
      <w:r>
        <w:rPr/>
        <w:t>Normy: EN ISO 21420:2020 .Ochranné rukavice – Všeobecné požadavky a testovací metody; EN 388:2016 + Al:2018.Ochranné rukavice proti mechanickým rizikům.•; ENISO 11393-4:2019 .Ochranný oděv pro uživatele ručních řetězových pil - část 4: Požadavky na funkční způsobilost a zkušební metody pro ochranné rukavice</w:t>
      </w:r>
    </w:p>
    <w:p>
      <w:pPr>
        <w:pStyle w:val="Normal"/>
        <w:bidi w:val="0"/>
        <w:jc w:val="left"/>
        <w:rPr/>
      </w:pPr>
      <w:r>
        <w:rPr/>
        <w:t>Notifikovaná osoba: CTC, 4, rue Hermann Frenkel, 69367 Lyon Cede,c 07,Francie,</w:t>
      </w:r>
    </w:p>
    <w:p>
      <w:pPr>
        <w:pStyle w:val="Normal"/>
        <w:bidi w:val="0"/>
        <w:jc w:val="left"/>
        <w:rPr/>
      </w:pPr>
      <w:r>
        <w:rPr/>
        <w:t>číslo notifikované osoby:0075.</w:t>
      </w:r>
    </w:p>
    <w:p>
      <w:pPr>
        <w:pStyle w:val="Normal"/>
        <w:bidi w:val="0"/>
        <w:jc w:val="left"/>
        <w:rPr/>
      </w:pPr>
      <w:r>
        <w:rPr/>
        <w:t>Dohledová osoba: CTC.4, rue Hermann Frenkel, 69367Lyon Cede,c07,Francie,číslo notifikované osoby:0075.</w:t>
      </w:r>
    </w:p>
    <w:p>
      <w:pPr>
        <w:pStyle w:val="Normal"/>
        <w:bidi w:val="0"/>
        <w:jc w:val="left"/>
        <w:rPr/>
      </w:pPr>
      <w:r>
        <w:rPr>
          <w:b/>
          <w:bCs/>
        </w:rPr>
        <w:t>Popis produktu</w:t>
      </w:r>
      <w:r>
        <w:rPr/>
        <w:t>: Ochranné rukavice pro uživatele ručních řetězových pil. Podrobné charakteristiky výrobku jsou uvedeny na stránkách rawpol.com.</w:t>
      </w:r>
    </w:p>
    <w:p>
      <w:pPr>
        <w:pStyle w:val="Normal"/>
        <w:bidi w:val="0"/>
        <w:jc w:val="left"/>
        <w:rPr/>
      </w:pPr>
      <w:r>
        <w:rPr>
          <w:b/>
          <w:bCs/>
        </w:rPr>
        <w:t>Zamýšlené použití</w:t>
      </w:r>
      <w:r>
        <w:rPr/>
        <w:t>:Tento výrobek je osobním ochranným prostředkem, který chrání před riziky v souladu s normami, které splňuje. ENISO21420:2020 -úroveň účinnosti (od 1 do 5) :2.Rukavice typu 2 obsahují ochranu proti pořezání ruční řetězovou pilou pouzena  levé rukavici .Mohou být použity pouze v situacích, kdy pravé ruce nehrozí nebezpečí pořezání motorovou pilou. Tuto ochranu poskytuje ochranná vložka trvale připevněná k vnějšímu materiálu rukavice. Model A popisuje pětiprstou rukavici s ochranou řetězovou pilou u hřbetu, ale bez ochrany v oblasti v palce a prstů. Doporučuje se používat tyto rukavice, pokud je nutná velká obratnost prstů při vykonávané práci. Rukavice neposkytují ochranu proti řeznému účinku řetězové pily na místech, kde není žádná ochranná vložka. Třída rychlosti řetězové pily je 1, tj. maximální rychlost, při které je poskytován</w:t>
      </w:r>
    </w:p>
    <w:p>
      <w:pPr>
        <w:pStyle w:val="Normal"/>
        <w:bidi w:val="0"/>
        <w:jc w:val="left"/>
        <w:rPr/>
      </w:pPr>
      <w:r>
        <w:rPr/>
        <w:t>ochranný účinek 20 m/s ± 0,2 m/s. Úroveň ochrany byla získána na základě zkoušek provedených podle podmínek popisujících stav v normách/specifikacích, na které se vztahují. Výrobek poskytuje ochranu proti výše uvedeným rizikům a je určen pro použití v prostředích, ve kterých se vyskytují.</w:t>
      </w:r>
    </w:p>
    <w:p>
      <w:pPr>
        <w:pStyle w:val="Normal"/>
        <w:bidi w:val="0"/>
        <w:jc w:val="left"/>
        <w:rPr/>
      </w:pPr>
      <w:r>
        <w:rPr/>
        <w:t xml:space="preserve"> </w:t>
      </w:r>
      <w:r>
        <w:rPr/>
        <w:t>Vždy proveďte posouzení rizik v daném pracovním prostředí s cílem ověřit, zda výrobek poskytuje ochranu proti všem rizikům, která mohou v tomto prostředí nastat.</w:t>
      </w:r>
    </w:p>
    <w:p>
      <w:pPr>
        <w:pStyle w:val="Normal"/>
        <w:bidi w:val="0"/>
        <w:jc w:val="left"/>
        <w:rPr/>
      </w:pPr>
      <w:r>
        <w:rPr/>
      </w:r>
    </w:p>
    <w:p>
      <w:pPr>
        <w:pStyle w:val="Normal"/>
        <w:bidi w:val="0"/>
        <w:jc w:val="left"/>
        <w:rPr>
          <w:b/>
          <w:b/>
          <w:bCs/>
        </w:rPr>
      </w:pPr>
      <w:r>
        <w:rPr>
          <w:b/>
          <w:bCs/>
        </w:rPr>
        <w:t>Oranžově označená oblast na levé rukavici ukazuje chráněnou část.</w:t>
      </w:r>
    </w:p>
    <w:p>
      <w:pPr>
        <w:pStyle w:val="Normal"/>
        <w:bidi w:val="0"/>
        <w:jc w:val="left"/>
        <w:rPr>
          <w:b/>
          <w:b/>
          <w:bCs/>
        </w:rPr>
      </w:pPr>
      <w:r>
        <w:rPr>
          <w:b/>
          <w:bCs/>
        </w:rPr>
        <mc:AlternateContent>
          <mc:Choice Requires="wpg">
            <w:drawing>
              <wp:anchor behindDoc="1" distT="0" distB="0" distL="0" distR="0" simplePos="0" locked="0" layoutInCell="1" allowOverlap="1" relativeHeight="3">
                <wp:simplePos x="0" y="0"/>
                <wp:positionH relativeFrom="column">
                  <wp:posOffset>55245</wp:posOffset>
                </wp:positionH>
                <wp:positionV relativeFrom="paragraph">
                  <wp:posOffset>93980</wp:posOffset>
                </wp:positionV>
                <wp:extent cx="3559175" cy="1278890"/>
                <wp:effectExtent l="0" t="0" r="0" b="0"/>
                <wp:wrapNone/>
                <wp:docPr id="1" name="Obrázek1"/>
                <a:graphic xmlns:a="http://schemas.openxmlformats.org/drawingml/2006/main">
                  <a:graphicData uri="http://schemas.microsoft.com/office/word/2010/wordprocessingGroup">
                    <wpg:wgp>
                      <wpg:cNvGrpSpPr/>
                      <wpg:grpSpPr>
                        <a:xfrm>
                          <a:off x="0" y="0"/>
                          <a:ext cx="3558600" cy="1278360"/>
                        </a:xfrm>
                      </wpg:grpSpPr>
                      <pic:pic xmlns:pic="http://schemas.openxmlformats.org/drawingml/2006/picture">
                        <pic:nvPicPr>
                          <pic:cNvPr id="0" name="" descr=""/>
                          <pic:cNvPicPr/>
                        </pic:nvPicPr>
                        <pic:blipFill>
                          <a:blip r:embed="rId2"/>
                          <a:stretch/>
                        </pic:blipFill>
                        <pic:spPr>
                          <a:xfrm>
                            <a:off x="0" y="0"/>
                            <a:ext cx="1928520" cy="1278360"/>
                          </a:xfrm>
                          <a:prstGeom prst="rect">
                            <a:avLst/>
                          </a:prstGeom>
                          <a:ln>
                            <a:noFill/>
                          </a:ln>
                        </pic:spPr>
                      </pic:pic>
                      <pic:pic xmlns:pic="http://schemas.openxmlformats.org/drawingml/2006/picture">
                        <pic:nvPicPr>
                          <pic:cNvPr id="1" name="" descr=""/>
                          <pic:cNvPicPr/>
                        </pic:nvPicPr>
                        <pic:blipFill>
                          <a:blip r:embed="rId3"/>
                          <a:stretch/>
                        </pic:blipFill>
                        <pic:spPr>
                          <a:xfrm>
                            <a:off x="1996920" y="195120"/>
                            <a:ext cx="1561320" cy="165240"/>
                          </a:xfrm>
                          <a:prstGeom prst="rect">
                            <a:avLst/>
                          </a:prstGeom>
                          <a:ln>
                            <a:noFill/>
                          </a:ln>
                        </pic:spPr>
                      </pic:pic>
                    </wpg:wgp>
                  </a:graphicData>
                </a:graphic>
              </wp:anchor>
            </w:drawing>
          </mc:Choice>
          <mc:Fallback>
            <w:pict>
              <v:group id="shape_0" alt="Obrázek1" style="position:absolute;margin-left:4.35pt;margin-top:7.4pt;width:280.2pt;height:100.65pt" coordorigin="87,148" coordsize="5604,2013">
                <v:rect id="shape_0" stroked="f" style="position:absolute;left:87;top:148;width:3036;height:2012">
                  <v:imagedata r:id="rId2" o:detectmouseclick="t"/>
                  <w10:wrap type="none"/>
                  <v:stroke color="#3465a4" joinstyle="round" endcap="flat"/>
                </v:rect>
                <v:rect id="shape_0" stroked="f" style="position:absolute;left:3231;top:455;width:2458;height:259">
                  <v:imagedata r:id="rId3" o:detectmouseclick="t"/>
                  <w10:wrap type="none"/>
                  <v:stroke color="#3465a4" joinstyle="round" endcap="flat"/>
                </v:rect>
              </v:group>
            </w:pict>
          </mc:Fallback>
        </mc:AlternateContent>
      </w:r>
    </w:p>
    <w:p>
      <w:pPr>
        <w:pStyle w:val="Normal"/>
        <w:bidi w:val="0"/>
        <w:jc w:val="left"/>
        <w:rPr/>
      </w:pPr>
      <w:r>
        <mc:AlternateContent>
          <mc:Choice Requires="wps">
            <w:drawing>
              <wp:anchor behindDoc="0" distT="0" distB="0" distL="0" distR="0" simplePos="0" locked="0" layoutInCell="1" allowOverlap="1" relativeHeight="4">
                <wp:simplePos x="0" y="0"/>
                <wp:positionH relativeFrom="column">
                  <wp:posOffset>1983740</wp:posOffset>
                </wp:positionH>
                <wp:positionV relativeFrom="paragraph">
                  <wp:posOffset>4445</wp:posOffset>
                </wp:positionV>
                <wp:extent cx="1868805" cy="497205"/>
                <wp:effectExtent l="0" t="0" r="0" b="0"/>
                <wp:wrapNone/>
                <wp:docPr id="2" name="Tvar 1"/>
                <a:graphic xmlns:a="http://schemas.openxmlformats.org/drawingml/2006/main">
                  <a:graphicData uri="http://schemas.microsoft.com/office/word/2010/wordprocessingShape">
                    <wps:wsp>
                      <wps:cNvSpPr/>
                      <wps:spPr>
                        <a:xfrm>
                          <a:off x="0" y="0"/>
                          <a:ext cx="1868040" cy="496440"/>
                        </a:xfrm>
                        <a:prstGeom prst="rect">
                          <a:avLst/>
                        </a:prstGeom>
                        <a:solidFill>
                          <a:srgbClr val="ffffff"/>
                        </a:solidFill>
                        <a:ln>
                          <a:solidFill>
                            <a:srgbClr val="ffffff"/>
                          </a:solidFill>
                        </a:ln>
                      </wps:spPr>
                      <wps:style>
                        <a:lnRef idx="0"/>
                        <a:fillRef idx="0"/>
                        <a:effectRef idx="0"/>
                        <a:fontRef idx="minor"/>
                      </wps:style>
                      <wps:bodyPr/>
                    </wps:wsp>
                  </a:graphicData>
                </a:graphic>
              </wp:anchor>
            </w:drawing>
          </mc:Choice>
          <mc:Fallback>
            <w:pict>
              <v:rect id="shape_0" ID="Tvar 1" fillcolor="white" stroked="t" style="position:absolute;margin-left:156.2pt;margin-top:0.35pt;width:147.05pt;height:39.05pt">
                <w10:wrap type="none"/>
                <v:fill o:detectmouseclick="t" type="solid" color2="black"/>
                <v:stroke color="white" joinstyle="round" endcap="flat"/>
              </v:rect>
            </w:pict>
          </mc:Fallback>
        </mc:AlternateContent>
      </w:r>
      <w:r>
        <w:rPr/>
        <w:t xml:space="preserve">                                                   </w:t>
      </w:r>
    </w:p>
    <w:p>
      <w:pPr>
        <w:pStyle w:val="Normal"/>
        <w:bidi w:val="0"/>
        <w:jc w:val="left"/>
        <w:rPr/>
      </w:pPr>
      <w:r>
        <w:rPr/>
        <w:t xml:space="preserve">                                                    </w:t>
      </w:r>
      <w:r>
        <w:rPr>
          <w:rFonts w:eastAsia="NSimSun" w:cs="Arial"/>
          <w:color w:val="00000A"/>
          <w:kern w:val="2"/>
          <w:sz w:val="24"/>
          <w:szCs w:val="24"/>
          <w:lang w:val="cs-CZ" w:eastAsia="zh-CN" w:bidi="hi-IN"/>
        </w:rPr>
        <w:t xml:space="preserve">    </w:t>
      </w:r>
      <w:r>
        <w:rPr>
          <w:rFonts w:eastAsia="NSimSun" w:cs="Arial"/>
          <w:color w:val="00000A"/>
          <w:kern w:val="2"/>
          <w:sz w:val="24"/>
          <w:szCs w:val="24"/>
          <w:lang w:val="cs-CZ" w:eastAsia="zh-CN" w:bidi="hi-IN"/>
        </w:rPr>
        <w:t>Obl</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p>
    <w:p>
      <w:pPr>
        <w:pStyle w:val="Normal"/>
        <w:bidi w:val="0"/>
        <w:jc w:val="left"/>
        <w:rPr/>
      </w:pPr>
      <w:r>
        <w:rPr/>
      </w:r>
    </w:p>
    <w:p>
      <w:pPr>
        <w:pStyle w:val="Normal"/>
        <w:bidi w:val="0"/>
        <w:jc w:val="left"/>
        <w:rPr/>
      </w:pPr>
      <w:r>
        <mc:AlternateContent>
          <mc:Choice Requires="wpg">
            <w:drawing>
              <wp:anchor behindDoc="1" distT="0" distB="0" distL="0" distR="0" simplePos="0" locked="0" layoutInCell="1" allowOverlap="1" relativeHeight="2">
                <wp:simplePos x="0" y="0"/>
                <wp:positionH relativeFrom="page">
                  <wp:posOffset>7545070</wp:posOffset>
                </wp:positionH>
                <wp:positionV relativeFrom="paragraph">
                  <wp:posOffset>38735</wp:posOffset>
                </wp:positionV>
                <wp:extent cx="2000250" cy="859790"/>
                <wp:effectExtent l="0" t="0" r="0" b="0"/>
                <wp:wrapNone/>
                <wp:docPr id="3" name="Obrázek2"/>
                <a:graphic xmlns:a="http://schemas.openxmlformats.org/drawingml/2006/main">
                  <a:graphicData uri="http://schemas.microsoft.com/office/word/2010/wordprocessingGroup">
                    <wpg:wgp>
                      <wpg:cNvGrpSpPr/>
                      <wpg:grpSpPr>
                        <a:xfrm>
                          <a:off x="0" y="0"/>
                          <a:ext cx="1999440" cy="859320"/>
                        </a:xfrm>
                      </wpg:grpSpPr>
                      <pic:pic xmlns:pic="http://schemas.openxmlformats.org/drawingml/2006/picture">
                        <pic:nvPicPr>
                          <pic:cNvPr id="2" name="" descr=""/>
                          <pic:cNvPicPr/>
                        </pic:nvPicPr>
                        <pic:blipFill>
                          <a:blip r:embed="rId2"/>
                          <a:stretch/>
                        </pic:blipFill>
                        <pic:spPr>
                          <a:xfrm>
                            <a:off x="0" y="0"/>
                            <a:ext cx="1083240" cy="859320"/>
                          </a:xfrm>
                          <a:prstGeom prst="rect">
                            <a:avLst/>
                          </a:prstGeom>
                          <a:ln>
                            <a:noFill/>
                          </a:ln>
                        </pic:spPr>
                      </pic:pic>
                      <pic:pic xmlns:pic="http://schemas.openxmlformats.org/drawingml/2006/picture">
                        <pic:nvPicPr>
                          <pic:cNvPr id="3" name="" descr=""/>
                          <pic:cNvPicPr/>
                        </pic:nvPicPr>
                        <pic:blipFill>
                          <a:blip r:embed="rId3"/>
                          <a:stretch/>
                        </pic:blipFill>
                        <pic:spPr>
                          <a:xfrm>
                            <a:off x="1122840" y="130680"/>
                            <a:ext cx="876960" cy="111240"/>
                          </a:xfrm>
                          <a:prstGeom prst="rect">
                            <a:avLst/>
                          </a:prstGeom>
                          <a:ln>
                            <a:noFill/>
                          </a:ln>
                        </pic:spPr>
                      </pic:pic>
                    </wpg:wgp>
                  </a:graphicData>
                </a:graphic>
              </wp:anchor>
            </w:drawing>
          </mc:Choice>
          <mc:Fallback>
            <w:pict>
              <v:group id="shape_0" alt="Obrázek2" style="position:absolute;margin-left:594.1pt;margin-top:3.05pt;width:157.45pt;height:67.65pt" coordorigin="11882,61" coordsize="3149,1353">
                <v:rect id="shape_0" stroked="f" style="position:absolute;left:11882;top:61;width:1705;height:1352;mso-position-horizontal-relative:page">
                  <v:imagedata r:id="rId2" o:detectmouseclick="t"/>
                  <w10:wrap type="none"/>
                  <v:stroke color="#3465a4" joinstyle="round" endcap="flat"/>
                </v:rect>
                <v:rect id="shape_0" stroked="f" style="position:absolute;left:13651;top:267;width:1380;height:174;mso-position-horizontal-relative:page">
                  <v:imagedata r:id="rId3" o:detectmouseclick="t"/>
                  <w10:wrap type="none"/>
                  <v:stroke color="#3465a4" joinstyle="round" endcap="flat"/>
                </v:rect>
              </v:group>
            </w:pict>
          </mc:Fallback>
        </mc:AlternateContent>
      </w:r>
      <w:r>
        <w:rPr>
          <w:b/>
          <w:bCs/>
        </w:rPr>
        <w:t>Omezení</w:t>
      </w:r>
      <w:r>
        <w:rPr/>
        <w:t xml:space="preserve">: Varujeme před nesprávným použitím výrobku, v rozporu s plánovaným určením nebo návodem k použití a vysoce rizikovými podmínkami. Z hlediska normy EN388 je ochrana omezena na dlaň (s výjimkou ochrany proti nárazu). Není zaručena ochrana proti nebezpečím a nebezpečím, která nejsou uvedena v návodu k použití. Rukavice neposkytují ochranu proti všem rizikům řezání ruční motorovou pilou. Ruční motorové pily jsou určeny k řezání dřeva, proto nemusí rukavice dostatečně chránit proti řezům některými modifikovanými řetězy nebo řetězy, které nejsou primárně určeny pro lesnictví (např. některé záchranné řetězy), v případě pochybností se uživatel musí obrátit na výrobce pilového řetězu. Pila se musí správně používat oběma rukama podle pokynů výrobce řetězové pily. Vždy se seznamte s návodem k použití a řiďte se pokyny poskytnutými výrobcem řetězové pily. Z hlediska normy EN388 nemusí obecná klasifikace u rukavic se dvěma nebo více vnějšími vrstvami nutně odrážet účinnost vnější vrstvy. Rukavice nejsou určeny pro styk s ohněm. Rukavice se nesmí nosit, pokud hrozí, že by se produkt mohl zachytit o pohybující se předměty (např. pohyblivé části strojů), pokud je odolnost proti roztržení </w:t>
      </w:r>
      <w:r>
        <w:rPr>
          <w:rFonts w:ascii="Symbol" w:hAnsi="Symbol"/>
          <w:sz w:val="23"/>
        </w:rPr>
        <w:t></w:t>
      </w:r>
      <w:r>
        <w:rPr/>
        <w:t xml:space="preserve">1 nebo pokud rukavice nebyla pro tento parametr testována. </w:t>
      </w:r>
      <w:r>
        <w:rPr>
          <w:b/>
          <w:bCs/>
        </w:rPr>
        <w:t>UPOZORNĚNÍ</w:t>
      </w:r>
      <w:r>
        <w:rPr/>
        <w:t>: Žádný OOP nemůže zajistit 100% ochranu proti pořezání ruční řetězovou pilou.</w:t>
      </w:r>
    </w:p>
    <w:p>
      <w:pPr>
        <w:pStyle w:val="Normal"/>
        <w:bidi w:val="0"/>
        <w:jc w:val="left"/>
        <w:rPr/>
      </w:pPr>
      <w:r>
        <w:rPr>
          <w:b/>
          <w:bCs/>
        </w:rPr>
        <w:t>Použití a manipulace</w:t>
      </w:r>
      <w:r>
        <w:rPr/>
        <w:t xml:space="preserve">: Aby byla zajištěna ochranná funkce výrobku, je třeba osobní zodpovědnosti každého uživatele. Při výběru dbejte na to, aby jste se v něm cítili pohodlně a poskytoval vám svobodu pohybu. Před použitím prosím zapněte a upravte veškeré zapínání nebo regulační prvky tak, aby nedošlo k neúmyslnému sklouznutí z rukou, a po použití je rozepněte nebo uvolněte tak, aby bylo možné rukavici volně sejmout. V případě nošení rukavic společně s ochranným oděvem proti pořezu,  je třeba zaručit správný stupeň ochrany v závislosti na místě použití. Při výběru velikosti rukavic dbejte na to, aby nedošlo k mezerám v místech, kde rukáv bundy překrývá rukavice. Uživatel před prací zkontroluje na vlastní odpovědnost, zda je výrobek vhodný pro pracovní činnosti, zda je kompletní, čistý a zda jsou znovu garantovány všechny funkce. Zkontrolujte případné poškození ,vady,zda by mohly mít negativní dopad na bezpečnostní funkce (např. praskliny, díry, vytržené švy, nefunkční zapínání, prodřeniny. </w:t>
      </w:r>
    </w:p>
    <w:p>
      <w:pPr>
        <w:pStyle w:val="Normal"/>
        <w:bidi w:val="0"/>
        <w:jc w:val="left"/>
        <w:rPr/>
      </w:pPr>
      <w:r>
        <w:rPr/>
        <w:t xml:space="preserve">Pokud dojde k takovéto situaci, před použitím obnovte původní stav výrobku, a pokud to není možné, vyměňte jej. Během práce věnujte pozornost stavu ochranných funkcí. Ztráta ochranných vlastností znamená, že přípravek byl použit. V žádném případě neopravujte ani neupravujte ochrannou vložku , pokud dojte k proříznutí, výrobek vyměňte. Výrobek nemá dodatečné příslušenství ani náhradní díly. </w:t>
      </w:r>
    </w:p>
    <w:p>
      <w:pPr>
        <w:pStyle w:val="Normal"/>
        <w:bidi w:val="0"/>
        <w:jc w:val="left"/>
        <w:rPr/>
      </w:pPr>
      <w:r>
        <w:rPr/>
        <w:t xml:space="preserve">Materiály, ze kterých je výrobek vyroben, by neměly narušovat zdraví nebo hygienu uživatele, pokud uživatel není alergický na jakýkoli materiál, který je součástí rukavic. </w:t>
      </w:r>
    </w:p>
    <w:p>
      <w:pPr>
        <w:pStyle w:val="Normal"/>
        <w:bidi w:val="0"/>
        <w:jc w:val="left"/>
        <w:rPr/>
      </w:pPr>
      <w:r>
        <w:rPr>
          <w:b/>
          <w:bCs/>
        </w:rPr>
        <w:t>Varování:</w:t>
      </w:r>
      <w:r>
        <w:rPr/>
        <w:t xml:space="preserve"> rukavice obsahuje přírodní kaučuk/latex, který může u některých uživatelů vyvolat alergické reakce. Pamatujte, že látky obsažené v materiálech výrobku mohou být alergenem, např. bavlna, kůže, kovové prvky, latex, přírodní kaučuk, barviva atd. Zvláště citlivé osoby by měly před použitím výrobek otestovat nebo konzultovat použití s lékařem.</w:t>
      </w:r>
    </w:p>
    <w:p>
      <w:pPr>
        <w:pStyle w:val="Normal"/>
        <w:bidi w:val="0"/>
        <w:jc w:val="left"/>
        <w:rPr/>
      </w:pPr>
      <w:r>
        <w:rPr>
          <w:b/>
          <w:bCs/>
        </w:rPr>
        <w:t>Velikost</w:t>
      </w:r>
      <w:r>
        <w:rPr/>
        <w:t xml:space="preserve">: Výrobek by měl mít dostatečnou velikost, kterou je třeba před započetím práce vyzkoušet. Velikost výrobku je uvedena na štítku vevnitř nebo přímo na výrobku nebo na jednotném obalu. Pouze rukavice správné velikosti mohou zaručit bezpečnost, pohodlí, jistotu na ruce a dodat jistotu při manipulaci se stroji a dřevem. Mějte na paměti, že ruka může být kolem rukojeti pily uzavřena na delší dobu, a proto by rukavice neměla být v dlani příliš tuhá ani příliš silná. Nositelé by také měli zkontrolovat, zda se při uchopení materiál dlaně neprohýbá tak, aby nedošlo ke zhoršení přilnavosti. Dostupné velikostní rozmezí je uvedeno v tabulce VELIKOSTI. Níže uvedená tabulka </w:t>
      </w:r>
    </w:p>
    <w:p>
      <w:pPr>
        <w:pStyle w:val="Normal"/>
        <w:bidi w:val="0"/>
        <w:jc w:val="left"/>
        <w:rPr/>
      </w:pPr>
      <w:r>
        <w:rPr/>
        <w:t>uvádí velikosti rukavic v závislosti na délce a obvodu ruky:</w:t>
      </w:r>
    </w:p>
    <w:p>
      <w:pPr>
        <w:pStyle w:val="Normal"/>
        <w:bidi w:val="0"/>
        <w:jc w:val="left"/>
        <w:rPr/>
      </w:pPr>
      <w:r>
        <w:rPr/>
      </w:r>
    </w:p>
    <w:tbl>
      <w:tblPr>
        <w:tblW w:w="9638" w:type="dxa"/>
        <w:jc w:val="left"/>
        <w:tblInd w:w="0" w:type="dxa"/>
        <w:tblBorders/>
        <w:tblCellMar>
          <w:top w:w="0" w:type="dxa"/>
          <w:left w:w="0" w:type="dxa"/>
          <w:bottom w:w="0" w:type="dxa"/>
          <w:right w:w="0" w:type="dxa"/>
        </w:tblCellMar>
      </w:tblPr>
      <w:tblGrid>
        <w:gridCol w:w="3212"/>
        <w:gridCol w:w="3213"/>
        <w:gridCol w:w="3213"/>
      </w:tblGrid>
      <w:tr>
        <w:trPr/>
        <w:tc>
          <w:tcPr>
            <w:tcW w:w="3212" w:type="dxa"/>
            <w:tcBorders/>
            <w:shd w:fill="auto" w:val="clear"/>
          </w:tcPr>
          <w:p>
            <w:pPr>
              <w:pStyle w:val="Obsahtabulky"/>
              <w:widowControl w:val="false"/>
              <w:jc w:val="center"/>
              <w:rPr>
                <w:b/>
                <w:b/>
                <w:bCs/>
              </w:rPr>
            </w:pPr>
            <w:r>
              <w:rPr>
                <w:b/>
                <w:bCs/>
              </w:rPr>
              <w:t>Velikosti</w:t>
            </w:r>
          </w:p>
        </w:tc>
        <w:tc>
          <w:tcPr>
            <w:tcW w:w="3213" w:type="dxa"/>
            <w:tcBorders/>
            <w:shd w:fill="auto" w:val="clear"/>
          </w:tcPr>
          <w:p>
            <w:pPr>
              <w:pStyle w:val="Obsahtabulky"/>
              <w:widowControl w:val="false"/>
              <w:jc w:val="center"/>
              <w:rPr>
                <w:b/>
                <w:b/>
                <w:bCs/>
              </w:rPr>
            </w:pPr>
            <w:r>
              <w:rPr>
                <w:b/>
                <w:bCs/>
              </w:rPr>
              <w:t>Obvod ruky (mm)</w:t>
            </w:r>
          </w:p>
        </w:tc>
        <w:tc>
          <w:tcPr>
            <w:tcW w:w="3213" w:type="dxa"/>
            <w:tcBorders/>
            <w:shd w:fill="auto" w:val="clear"/>
          </w:tcPr>
          <w:p>
            <w:pPr>
              <w:pStyle w:val="Obsahtabulky"/>
              <w:widowControl w:val="false"/>
              <w:jc w:val="center"/>
              <w:rPr>
                <w:b/>
                <w:b/>
                <w:bCs/>
              </w:rPr>
            </w:pPr>
            <w:r>
              <w:rPr>
                <w:b/>
                <w:bCs/>
              </w:rPr>
              <w:t>Délka ruky (mm)</w:t>
            </w:r>
          </w:p>
        </w:tc>
      </w:tr>
      <w:tr>
        <w:trPr/>
        <w:tc>
          <w:tcPr>
            <w:tcW w:w="3212" w:type="dxa"/>
            <w:tcBorders/>
            <w:shd w:fill="auto" w:val="clear"/>
          </w:tcPr>
          <w:p>
            <w:pPr>
              <w:pStyle w:val="Obsahtabulky"/>
              <w:widowControl w:val="false"/>
              <w:jc w:val="center"/>
              <w:rPr/>
            </w:pPr>
            <w:r>
              <w:rPr/>
              <w:t>9</w:t>
            </w:r>
          </w:p>
        </w:tc>
        <w:tc>
          <w:tcPr>
            <w:tcW w:w="3213" w:type="dxa"/>
            <w:tcBorders/>
            <w:shd w:fill="auto" w:val="clear"/>
          </w:tcPr>
          <w:p>
            <w:pPr>
              <w:pStyle w:val="Obsahtabulky"/>
              <w:widowControl w:val="false"/>
              <w:jc w:val="center"/>
              <w:rPr/>
            </w:pPr>
            <w:r>
              <w:rPr/>
              <w:t>255</w:t>
            </w:r>
          </w:p>
        </w:tc>
        <w:tc>
          <w:tcPr>
            <w:tcW w:w="3213" w:type="dxa"/>
            <w:tcBorders/>
            <w:shd w:fill="auto" w:val="clear"/>
          </w:tcPr>
          <w:p>
            <w:pPr>
              <w:pStyle w:val="Obsahtabulky"/>
              <w:widowControl w:val="false"/>
              <w:jc w:val="center"/>
              <w:rPr/>
            </w:pPr>
            <w:r>
              <w:rPr/>
              <w:t>215</w:t>
            </w:r>
          </w:p>
        </w:tc>
      </w:tr>
      <w:tr>
        <w:trPr/>
        <w:tc>
          <w:tcPr>
            <w:tcW w:w="3212" w:type="dxa"/>
            <w:tcBorders/>
            <w:shd w:fill="auto" w:val="clear"/>
          </w:tcPr>
          <w:p>
            <w:pPr>
              <w:pStyle w:val="Obsahtabulky"/>
              <w:widowControl w:val="false"/>
              <w:jc w:val="center"/>
              <w:rPr/>
            </w:pPr>
            <w:r>
              <w:rPr/>
              <w:t>10</w:t>
            </w:r>
          </w:p>
        </w:tc>
        <w:tc>
          <w:tcPr>
            <w:tcW w:w="3213" w:type="dxa"/>
            <w:tcBorders/>
            <w:shd w:fill="auto" w:val="clear"/>
          </w:tcPr>
          <w:p>
            <w:pPr>
              <w:pStyle w:val="Obsahtabulky"/>
              <w:widowControl w:val="false"/>
              <w:jc w:val="center"/>
              <w:rPr/>
            </w:pPr>
            <w:r>
              <w:rPr/>
              <w:t>270</w:t>
            </w:r>
          </w:p>
        </w:tc>
        <w:tc>
          <w:tcPr>
            <w:tcW w:w="3213" w:type="dxa"/>
            <w:tcBorders/>
            <w:shd w:fill="auto" w:val="clear"/>
          </w:tcPr>
          <w:p>
            <w:pPr>
              <w:pStyle w:val="Obsahtabulky"/>
              <w:widowControl w:val="false"/>
              <w:jc w:val="center"/>
              <w:rPr/>
            </w:pPr>
            <w:r>
              <w:rPr/>
              <w:t>227</w:t>
            </w:r>
          </w:p>
        </w:tc>
      </w:tr>
      <w:tr>
        <w:trPr/>
        <w:tc>
          <w:tcPr>
            <w:tcW w:w="3212" w:type="dxa"/>
            <w:tcBorders/>
            <w:shd w:fill="auto" w:val="clear"/>
          </w:tcPr>
          <w:p>
            <w:pPr>
              <w:pStyle w:val="Obsahtabulky"/>
              <w:widowControl w:val="false"/>
              <w:jc w:val="center"/>
              <w:rPr/>
            </w:pPr>
            <w:r>
              <w:rPr/>
              <w:t>11</w:t>
            </w:r>
          </w:p>
        </w:tc>
        <w:tc>
          <w:tcPr>
            <w:tcW w:w="3213" w:type="dxa"/>
            <w:tcBorders/>
            <w:shd w:fill="auto" w:val="clear"/>
          </w:tcPr>
          <w:p>
            <w:pPr>
              <w:pStyle w:val="Obsahtabulky"/>
              <w:widowControl w:val="false"/>
              <w:jc w:val="center"/>
              <w:rPr/>
            </w:pPr>
            <w:r>
              <w:rPr/>
              <w:t>285</w:t>
            </w:r>
          </w:p>
        </w:tc>
        <w:tc>
          <w:tcPr>
            <w:tcW w:w="3213" w:type="dxa"/>
            <w:tcBorders/>
            <w:shd w:fill="auto" w:val="clear"/>
          </w:tcPr>
          <w:p>
            <w:pPr>
              <w:pStyle w:val="Obsahtabulky"/>
              <w:widowControl w:val="false"/>
              <w:jc w:val="center"/>
              <w:rPr/>
            </w:pPr>
            <w:r>
              <w:rPr/>
              <w:t>230</w:t>
            </w:r>
          </w:p>
        </w:tc>
      </w:tr>
    </w:tbl>
    <w:p>
      <w:pPr>
        <w:pStyle w:val="Normal"/>
        <w:bidi w:val="0"/>
        <w:jc w:val="left"/>
        <w:rPr/>
      </w:pPr>
      <w:r>
        <w:rPr/>
      </w:r>
    </w:p>
    <w:p>
      <w:pPr>
        <w:pStyle w:val="Normal"/>
        <w:bidi w:val="0"/>
        <w:jc w:val="left"/>
        <w:rPr/>
      </w:pPr>
      <w:r>
        <w:rPr>
          <w:b/>
          <w:bCs/>
        </w:rPr>
        <w:t>Čištění a údržba</w:t>
      </w:r>
      <w:r>
        <w:rPr/>
        <w:t>: nebělte, neperte, nesušte v sušičce, nežehlete, nečistěte chemicky</w:t>
      </w:r>
    </w:p>
    <w:p>
      <w:pPr>
        <w:pStyle w:val="Normal"/>
        <w:bidi w:val="0"/>
        <w:jc w:val="left"/>
        <w:rPr/>
      </w:pPr>
      <w:r>
        <w:rPr/>
        <w:t>Doporučuje se čištění dostupnými čisticími prostředky (měkkým kartáčem,vlhkým hadříkem nebo protřepáním apod.). Neperte rukavice a nepoužívejte žádné konzervační a dezinfekční prostředky, protože to může vést ke snížení jejich ochranného účinku. Aby se zvýšila hygiena práce, doporučuje se navlékat si rukavice na čisté ruce.</w:t>
        <w:tab/>
      </w:r>
    </w:p>
    <w:p>
      <w:pPr>
        <w:pStyle w:val="Normal"/>
        <w:bidi w:val="0"/>
        <w:jc w:val="left"/>
        <w:rPr/>
      </w:pPr>
      <w:r>
        <w:rPr>
          <w:b/>
          <w:bCs/>
        </w:rPr>
        <w:t>Skladování:</w:t>
      </w:r>
      <w:r>
        <w:rPr/>
        <w:t xml:space="preserve"> Výrobek by měl být skladován při vhodné teplotě,na suchém a dobře větraném místě. Příliš vysoká vlhkost vzduchu, příliš vysoká nebo nízká teplota nebo intenzivní světlo může nepříznivě ovlivnit kvalitu produktu. Výrobce nepřijímá žádnou odpovědnost za kvalitu výrobku skladovaného v rozporu s pokyny.To může mít za následek snížení úrovně ochrany výrobku nebo její úplnou ztrátu.</w:t>
      </w:r>
    </w:p>
    <w:p>
      <w:pPr>
        <w:pStyle w:val="Normal"/>
        <w:bidi w:val="0"/>
        <w:jc w:val="left"/>
        <w:rPr/>
      </w:pPr>
      <w:r>
        <w:rPr>
          <w:b/>
          <w:bCs/>
        </w:rPr>
        <w:t>Balení a životnost</w:t>
      </w:r>
      <w:r>
        <w:rPr/>
        <w:t>: Doporučuje se distribuovat (včetně přepravy) tento výrobek v kartonovém nebo fóliovém obalu. Nakládka, přeprava a vykládka by měly probíhat v podmínkách chránících před promočením, znečištěním a poškozením. Dobu použitelnosti lze odhadnout na základě opotřebení výrobku. S ohledem na různé způsoby použití ,intenzity a vnější faktory, jako je sluneční záření, déšť apod., není možné stanovit přesné rozpětí. Výrobek si zachovává své ochranné vlastnosti až do okamžiku poškození, které nelze opravit bez snížení jeho ochranné úrovně. Výskyt mechanického poškození znamená, že výrobek by měl být opraven nebo okamžitě stažen z používání. Při správném skladování může být doba skladování výrobku až 4 roky od data výroby (u rukavic, které obsahují polyuretan do 3 let). Tato doba může být prodloužena provedením příslušných zkoušek.</w:t>
      </w:r>
    </w:p>
    <w:p>
      <w:pPr>
        <w:pStyle w:val="Normal"/>
        <w:bidi w:val="0"/>
        <w:jc w:val="left"/>
        <w:rPr/>
      </w:pPr>
      <w:r>
        <w:rPr>
          <w:b/>
          <w:bCs/>
        </w:rPr>
        <w:t>Datum výroby</w:t>
      </w:r>
      <w:r>
        <w:rPr/>
        <w:t xml:space="preserve"> je uvedeno na kartonu nebo na výrobku. Je uvedeno spolu s číslem šarže, např. 290120191234; vysvětlení: třetí a čtvrtá číslice odkazují na měsíc výroby a následující čtyři číslice představují rok výroby .Ostatní číslice spolu s výše uvedenými identifikují číslo šarže.</w:t>
      </w:r>
    </w:p>
    <w:p>
      <w:pPr>
        <w:pStyle w:val="Normal"/>
        <w:bidi w:val="0"/>
        <w:jc w:val="left"/>
        <w:rPr/>
      </w:pPr>
      <w:r>
        <w:rPr/>
        <w:t>Přístup k EU prohlášení o shodě je dostupný na adrese support.rawpol.com.</w:t>
      </w:r>
    </w:p>
    <w:p>
      <w:pPr>
        <w:pStyle w:val="Normal"/>
        <w:bidi w:val="0"/>
        <w:jc w:val="left"/>
        <w:rPr/>
      </w:pPr>
      <w:r>
        <w:rPr/>
        <w:t xml:space="preserve">V případě, že je tento návod zastaralý kvůli změnám zákonů nebo jiným faktorům, stáhněte si novou verzi.Aktuální návod je k dispozici na stránkách rawpol. com nebo support.rawpol.com. Tento návod je označen verzí v. A.C3HHC.102, kde A.C3HHC je identifikátor skupiny výrobků a 102 následné číslo verze. Před zahájením práce si ověřte, zda máte k výrobku aktuální/odpovídající návod k obsluze. </w:t>
      </w:r>
      <w:r>
        <w:rPr>
          <w:b/>
          <w:bCs/>
        </w:rPr>
        <w:t>Přečtěte si pozorně tento návod a uchovávejte si jej po dobu používání výrobku.</w:t>
      </w:r>
      <w:r>
        <w:rPr/>
        <w:t xml:space="preserve"> Pokud zde vysvětlené značky nejsou stejné jako značky na výrobku nebo na obalu, znamená to, že návod je určen pro jinou šarži jiného výrobku. V tomto případě je nezbytné kontaktovat osobu, která návod k obsluze poskytla, nebo kontaktovat výrobce nebo pověřeného zástupce výrobce, abyste získali doklad k šarži, kterou máte. Je nezbytné ověřit, zda máte k dispozici aktuální a odpovídající návod k obsluze. Pokud je příručka zastaralá nebo nevhodná k šarži, je nezbytné opatřit si příručku s aktuální verzí a seznámit se s jejím obsahem. </w:t>
      </w:r>
      <w:r>
        <w:rPr>
          <w:b/>
          <w:bCs/>
        </w:rPr>
        <w:t>Nezačínejte s prací bez přečtení informací obsažených v aktuální/správné provozní příručce!</w:t>
      </w:r>
    </w:p>
    <w:p>
      <w:pPr>
        <w:pStyle w:val="Normal"/>
        <w:bidi w:val="0"/>
        <w:jc w:val="left"/>
        <w:rPr>
          <w:b/>
          <w:b/>
          <w:bCs/>
        </w:rPr>
      </w:pPr>
      <w:r>
        <w:rPr>
          <w:b/>
          <w:bCs/>
        </w:rPr>
        <w:t>Tato příručka může být opakovaně kopírována za účelem poskytnutí adekvátních informací každému uživateli výrobku.</w:t>
      </w:r>
    </w:p>
    <w:p>
      <w:pPr>
        <w:pStyle w:val="Normal"/>
        <w:bidi w:val="0"/>
        <w:jc w:val="left"/>
        <w:rPr>
          <w:b w:val="false"/>
          <w:b w:val="false"/>
          <w:bCs w:val="false"/>
        </w:rPr>
      </w:pPr>
      <w:r>
        <w:rPr>
          <w:b w:val="false"/>
          <w:bCs w:val="false"/>
        </w:rPr>
        <w:t>V případě jakýchkoli pochybností se prosím obraťte na zdravotního a bezpečnostního specialistu, výrobce nebo zplnomocněného zástupce výrobce, aby vám je vysvětlil. Dotazy je také možné zaslat prostřednictvím internetové stránky www.rawpol.com</w:t>
      </w:r>
    </w:p>
    <w:p>
      <w:pPr>
        <w:pStyle w:val="Normal"/>
        <w:bidi w:val="0"/>
        <w:jc w:val="left"/>
        <w:rPr>
          <w:b w:val="false"/>
          <w:b w:val="false"/>
          <w:bCs w:val="false"/>
        </w:rPr>
      </w:pPr>
      <w:r>
        <w:rPr>
          <w:b w:val="false"/>
          <w:bCs w:val="false"/>
        </w:rPr>
        <w:t>Legenda označení vzorku: (Al – kód zboží dovozce,[BJ- kód zboží výrobce,[CJ- velikost,(0) • značka shody a číslo oznámeného subjektu, který se podílí na posuzování výroby, (El – číslo normy</w:t>
      </w:r>
    </w:p>
    <w:p>
      <w:pPr>
        <w:pStyle w:val="Normal"/>
        <w:bidi w:val="0"/>
        <w:jc w:val="left"/>
        <w:rPr>
          <w:b w:val="false"/>
          <w:b w:val="false"/>
          <w:bCs w:val="false"/>
        </w:rPr>
      </w:pPr>
      <w:r>
        <w:rPr>
          <w:b w:val="false"/>
          <w:bCs w:val="false"/>
        </w:rPr>
        <w:t>a piktogram označující kategorii ohrožení (EN388 – mechanická rizika. EN ISO 11393-4 – nebezpečí řezu při manipulaci s ruční řetězovou pilou), [FI• před použitím se seznámíte s návodem k použití, [Gl – identifikační značka dovozce. [HJ- Úrovně výkonnosti – EN388:4 -Odolnost proti otěru (0 až 4).1 – Odolnost proti řezu (0 až 5). 2 – Odolnost proti roztržení (0 až 4). 2 – Odolnost proti propíchnutí (0 až 4) (Poznámka:Rukavice splňující požadavky na odolnost proti propíchnutí mohou být nedostatečné pro ochranu proti ostrému konci předmětů, jako jsou jehly na injekci).EN 150 11393-4:2019:Typ 2 – ochrana pouze v levé rukavici. Provedení A• pětiprsté rukavice. X – Označuje, že rukavice nebyla zkoušena nebo že zkušební metoda není vhodná pro dané provedení nebo materiál, tudíž není rukavice určena k použití v daném rozsahu. Uvedené úrovně účinnosti se vztahují pouze na nové, neprané rukavice, které neprošly procesem regenerace. Úrovně účinnosti byly získány na základě zkoušek provedených podle podmínek popsaných v normách, na které se vztahují.</w:t>
      </w:r>
    </w:p>
    <w:p>
      <w:pPr>
        <w:pStyle w:val="Normal"/>
        <w:bidi w:val="0"/>
        <w:jc w:val="left"/>
        <w:rPr/>
      </w:pPr>
      <w:r>
        <w:rPr>
          <w:b w:val="false"/>
          <w:bCs w:val="false"/>
        </w:rPr>
        <w:t>Tento návod je nedílnou součástí balení a zároveň jeho označení. V souladu s nařízením Evropského parlamentu a Rady (EU) 2016/425 čl. 17 odst. 1 nemusí být umístěna všechna označení přímo na výrobku .Popis označení v návodu je závaznou informací, a to i při použití, pokud existovaly faktory, které vedly k tomu, že označení na produktu jsou nečitelná. Nevysvětlená označení v tomto návodu neodkazují přímo ani nepřímo na zdraví a bezpečnost. Výrobek a jeho obal musí být zlikvidován v souladu s platnými místními předpisy. Informace o složení produktu a jeho obalu jsou dostupné na rawpol.com.</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Symbol">
    <w:charset w:val="ee"/>
    <w:family w:val="roman"/>
    <w:pitch w:val="variable"/>
  </w:font>
</w:fonts>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cs-CZ"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00000A"/>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Obsahtabulky">
    <w:name w:val="Obsah tabulky"/>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385</TotalTime>
  <Application>LibreOffice/5.4.6.2$Windows_X86_64 LibreOffice_project/4014ce260a04f1026ba855d3b8d91541c224eab8</Application>
  <Pages>3</Pages>
  <Words>1720</Words>
  <Characters>10161</Characters>
  <CharactersWithSpaces>11963</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2022-10-21T11:56:54Z</dcterms:created>
  <dc:creator/>
  <dc:description/>
  <dc:language>cs-CZ</dc:language>
  <cp:lastModifiedBy/>
  <dcterms:modified xsi:type="dcterms:W3CDTF">2022-11-01T14:08:34Z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